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037C9" w14:textId="77777777"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4B08DCC8" w14:textId="77777777" w:rsidR="0012073C" w:rsidRDefault="0012073C">
      <w:pPr>
        <w:spacing w:line="540" w:lineRule="exact"/>
        <w:jc w:val="center"/>
        <w:rPr>
          <w:rFonts w:ascii="华文中宋" w:eastAsia="华文中宋" w:hAnsi="华文中宋" w:cs="宋体"/>
          <w:b/>
          <w:kern w:val="0"/>
          <w:sz w:val="52"/>
          <w:szCs w:val="52"/>
        </w:rPr>
      </w:pPr>
    </w:p>
    <w:p w14:paraId="2E0AB86D" w14:textId="77777777" w:rsidR="0012073C" w:rsidRDefault="0012073C">
      <w:pPr>
        <w:spacing w:line="540" w:lineRule="exact"/>
        <w:jc w:val="center"/>
        <w:rPr>
          <w:rFonts w:ascii="华文中宋" w:eastAsia="华文中宋" w:hAnsi="华文中宋" w:cs="宋体"/>
          <w:b/>
          <w:kern w:val="0"/>
          <w:sz w:val="52"/>
          <w:szCs w:val="52"/>
        </w:rPr>
      </w:pPr>
    </w:p>
    <w:p w14:paraId="6C520A48" w14:textId="77777777" w:rsidR="0012073C" w:rsidRDefault="0012073C">
      <w:pPr>
        <w:spacing w:line="540" w:lineRule="exact"/>
        <w:jc w:val="center"/>
        <w:rPr>
          <w:rFonts w:ascii="华文中宋" w:eastAsia="华文中宋" w:hAnsi="华文中宋" w:cs="宋体"/>
          <w:b/>
          <w:kern w:val="0"/>
          <w:sz w:val="52"/>
          <w:szCs w:val="52"/>
        </w:rPr>
      </w:pPr>
    </w:p>
    <w:p w14:paraId="22616072" w14:textId="77777777" w:rsidR="0012073C" w:rsidRDefault="0012073C">
      <w:pPr>
        <w:spacing w:line="540" w:lineRule="exact"/>
        <w:jc w:val="center"/>
        <w:rPr>
          <w:rFonts w:ascii="华文中宋" w:eastAsia="华文中宋" w:hAnsi="华文中宋" w:cs="宋体"/>
          <w:b/>
          <w:kern w:val="0"/>
          <w:sz w:val="52"/>
          <w:szCs w:val="52"/>
        </w:rPr>
      </w:pPr>
    </w:p>
    <w:p w14:paraId="0CBDCBA9" w14:textId="77777777" w:rsidR="0012073C" w:rsidRDefault="0012073C">
      <w:pPr>
        <w:spacing w:line="540" w:lineRule="exact"/>
        <w:jc w:val="center"/>
        <w:rPr>
          <w:rFonts w:ascii="华文中宋" w:eastAsia="华文中宋" w:hAnsi="华文中宋" w:cs="宋体"/>
          <w:b/>
          <w:kern w:val="0"/>
          <w:sz w:val="52"/>
          <w:szCs w:val="52"/>
        </w:rPr>
      </w:pPr>
    </w:p>
    <w:p w14:paraId="683AC87E" w14:textId="77777777" w:rsidR="0012073C" w:rsidRDefault="0012073C">
      <w:pPr>
        <w:spacing w:line="540" w:lineRule="exact"/>
        <w:jc w:val="center"/>
        <w:rPr>
          <w:rFonts w:ascii="华文中宋" w:eastAsia="华文中宋" w:hAnsi="华文中宋" w:cs="宋体"/>
          <w:b/>
          <w:kern w:val="0"/>
          <w:sz w:val="52"/>
          <w:szCs w:val="52"/>
        </w:rPr>
      </w:pPr>
    </w:p>
    <w:p w14:paraId="322A6929" w14:textId="77777777"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20110624" w14:textId="77777777" w:rsidR="0012073C" w:rsidRDefault="0012073C">
      <w:pPr>
        <w:spacing w:line="540" w:lineRule="exact"/>
        <w:jc w:val="center"/>
        <w:rPr>
          <w:rFonts w:ascii="华文中宋" w:eastAsia="华文中宋" w:hAnsi="华文中宋" w:cs="宋体"/>
          <w:b/>
          <w:kern w:val="0"/>
          <w:sz w:val="52"/>
          <w:szCs w:val="52"/>
        </w:rPr>
      </w:pPr>
    </w:p>
    <w:p w14:paraId="4825480D" w14:textId="77777777"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594A04AC" w14:textId="77777777" w:rsidR="0012073C" w:rsidRDefault="0012073C">
      <w:pPr>
        <w:spacing w:line="540" w:lineRule="exact"/>
        <w:jc w:val="center"/>
        <w:rPr>
          <w:rFonts w:eastAsia="仿宋_GB2312" w:hAnsi="宋体" w:cs="宋体"/>
          <w:kern w:val="0"/>
          <w:sz w:val="30"/>
          <w:szCs w:val="30"/>
        </w:rPr>
      </w:pPr>
    </w:p>
    <w:p w14:paraId="07A20E2F" w14:textId="77777777" w:rsidR="0012073C" w:rsidRDefault="0012073C">
      <w:pPr>
        <w:spacing w:line="540" w:lineRule="exact"/>
        <w:jc w:val="center"/>
        <w:rPr>
          <w:rFonts w:eastAsia="仿宋_GB2312" w:hAnsi="宋体" w:cs="宋体"/>
          <w:kern w:val="0"/>
          <w:sz w:val="30"/>
          <w:szCs w:val="30"/>
        </w:rPr>
      </w:pPr>
    </w:p>
    <w:p w14:paraId="6F06D06D" w14:textId="77777777" w:rsidR="0012073C" w:rsidRDefault="0012073C">
      <w:pPr>
        <w:spacing w:line="540" w:lineRule="exact"/>
        <w:jc w:val="center"/>
        <w:rPr>
          <w:rFonts w:eastAsia="仿宋_GB2312" w:hAnsi="宋体" w:cs="宋体"/>
          <w:kern w:val="0"/>
          <w:sz w:val="30"/>
          <w:szCs w:val="30"/>
        </w:rPr>
      </w:pPr>
    </w:p>
    <w:p w14:paraId="7376DE01" w14:textId="77777777" w:rsidR="0012073C" w:rsidRDefault="0012073C">
      <w:pPr>
        <w:spacing w:line="540" w:lineRule="exact"/>
        <w:jc w:val="center"/>
        <w:rPr>
          <w:rFonts w:eastAsia="仿宋_GB2312" w:hAnsi="宋体" w:cs="宋体"/>
          <w:kern w:val="0"/>
          <w:sz w:val="30"/>
          <w:szCs w:val="30"/>
        </w:rPr>
      </w:pPr>
    </w:p>
    <w:p w14:paraId="322FC8AC" w14:textId="77777777" w:rsidR="0012073C" w:rsidRDefault="0012073C">
      <w:pPr>
        <w:spacing w:line="540" w:lineRule="exact"/>
        <w:jc w:val="center"/>
        <w:rPr>
          <w:rFonts w:eastAsia="仿宋_GB2312" w:hAnsi="宋体" w:cs="宋体"/>
          <w:kern w:val="0"/>
          <w:sz w:val="30"/>
          <w:szCs w:val="30"/>
        </w:rPr>
      </w:pPr>
    </w:p>
    <w:p w14:paraId="6E322F25" w14:textId="77777777" w:rsidR="0012073C" w:rsidRDefault="0012073C">
      <w:pPr>
        <w:spacing w:line="540" w:lineRule="exact"/>
        <w:jc w:val="center"/>
        <w:rPr>
          <w:rFonts w:eastAsia="仿宋_GB2312" w:hAnsi="宋体" w:cs="宋体"/>
          <w:kern w:val="0"/>
          <w:sz w:val="30"/>
          <w:szCs w:val="30"/>
        </w:rPr>
      </w:pPr>
    </w:p>
    <w:p w14:paraId="16479548" w14:textId="77777777" w:rsidR="0012073C" w:rsidRDefault="0012073C">
      <w:pPr>
        <w:spacing w:line="540" w:lineRule="exact"/>
        <w:rPr>
          <w:rFonts w:eastAsia="仿宋_GB2312" w:hAnsi="宋体" w:cs="宋体"/>
          <w:kern w:val="0"/>
          <w:sz w:val="30"/>
          <w:szCs w:val="30"/>
        </w:rPr>
      </w:pPr>
    </w:p>
    <w:p w14:paraId="5336A1EE" w14:textId="77777777"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EEF8D5" w14:textId="77777777"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2022年路灯及公共设施用电电费项目</w:t>
      </w:r>
    </w:p>
    <w:p w14:paraId="77CCE741" w14:textId="77777777"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呼图壁县住房和城乡建设局本级</w:t>
      </w:r>
    </w:p>
    <w:p w14:paraId="0AD0ADC4" w14:textId="77777777"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呼图壁县住房和城乡建设局本级</w:t>
      </w:r>
    </w:p>
    <w:p w14:paraId="02A6E324" w14:textId="77777777"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董小江</w:t>
      </w:r>
    </w:p>
    <w:p w14:paraId="576492A0" w14:textId="77777777" w:rsidR="0012073C" w:rsidRDefault="009A0637">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2023年04月10日</w:t>
      </w:r>
    </w:p>
    <w:p w14:paraId="4859E6F5" w14:textId="77777777" w:rsidR="0012073C" w:rsidRDefault="0012073C">
      <w:pPr>
        <w:spacing w:line="700" w:lineRule="exact"/>
        <w:ind w:firstLineChars="236" w:firstLine="708"/>
        <w:jc w:val="left"/>
        <w:rPr>
          <w:rFonts w:eastAsia="仿宋_GB2312" w:hAnsi="宋体" w:cs="宋体"/>
          <w:kern w:val="0"/>
          <w:sz w:val="30"/>
          <w:szCs w:val="30"/>
        </w:rPr>
      </w:pPr>
    </w:p>
    <w:p w14:paraId="3BFE25E3" w14:textId="77777777" w:rsidR="0012073C" w:rsidRDefault="0012073C">
      <w:pPr>
        <w:spacing w:line="540" w:lineRule="exact"/>
        <w:rPr>
          <w:rStyle w:val="ad"/>
          <w:rFonts w:ascii="黑体" w:eastAsia="黑体" w:hAnsi="黑体"/>
          <w:b w:val="0"/>
          <w:spacing w:val="-4"/>
          <w:sz w:val="32"/>
          <w:szCs w:val="32"/>
        </w:rPr>
      </w:pPr>
    </w:p>
    <w:p w14:paraId="200049FC"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46231E31"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4C4A08E1"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1.项目背景</w:t>
      </w:r>
      <w:r>
        <w:rPr>
          <w:rStyle w:val="ad"/>
          <w:rFonts w:ascii="楷体" w:eastAsia="楷体" w:hAnsi="楷体" w:hint="eastAsia"/>
          <w:b w:val="0"/>
          <w:bCs w:val="0"/>
          <w:spacing w:val="-4"/>
          <w:sz w:val="32"/>
          <w:szCs w:val="32"/>
        </w:rPr>
        <w:br/>
        <w:t>根据《中华人民共和国电力法》及《城市照明管理规定》等有关法律法规和文件精神，严格规范城区路灯及公共设施的管理，确保县城照明等工作正常运行</w:t>
      </w:r>
      <w:r>
        <w:rPr>
          <w:rStyle w:val="ad"/>
          <w:rFonts w:ascii="楷体" w:eastAsia="楷体" w:hAnsi="楷体" w:hint="eastAsia"/>
          <w:b w:val="0"/>
          <w:bCs w:val="0"/>
          <w:spacing w:val="-4"/>
          <w:sz w:val="32"/>
          <w:szCs w:val="32"/>
        </w:rPr>
        <w:br/>
        <w:t>贯彻落实国家、自治区、州、县关于住房和城乡建设工作的法律、法规、规章和政策；拟定住房和城乡建设发展战略、产业政策、改革方案、中长期规划及年度计划并组织实施，承担城市建设工作，承担村镇建设指导管理责任，承担建筑市场管理和建设工程质量、安全生产的监督管理责任；负责全县建设工程消防设计审查验收。根据《中华人民共和国电力法》及《城市照明管理规定》等有关法律法规和文件精神，严格规范城区路灯的管理，确保县城照明工作正常运行。</w:t>
      </w:r>
      <w:r>
        <w:rPr>
          <w:rStyle w:val="ad"/>
          <w:rFonts w:ascii="楷体" w:eastAsia="楷体" w:hAnsi="楷体" w:hint="eastAsia"/>
          <w:b w:val="0"/>
          <w:bCs w:val="0"/>
          <w:spacing w:val="-4"/>
          <w:sz w:val="32"/>
          <w:szCs w:val="32"/>
        </w:rPr>
        <w:br/>
        <w:t>县政府2022年度安排县级财政预算资金511万元，专项用于公用设施用电费补助，以保障全县路灯正常运行，方便群众出行，提升城市夜景亮化水平，提升我县形象。</w:t>
      </w:r>
      <w:r>
        <w:rPr>
          <w:rStyle w:val="ad"/>
          <w:rFonts w:ascii="楷体" w:eastAsia="楷体" w:hAnsi="楷体" w:hint="eastAsia"/>
          <w:b w:val="0"/>
          <w:bCs w:val="0"/>
          <w:spacing w:val="-4"/>
          <w:sz w:val="32"/>
          <w:szCs w:val="32"/>
        </w:rPr>
        <w:br/>
        <w:t>2.项目主要内容及实施情况</w:t>
      </w:r>
      <w:r>
        <w:rPr>
          <w:rStyle w:val="ad"/>
          <w:rFonts w:ascii="楷体" w:eastAsia="楷体" w:hAnsi="楷体" w:hint="eastAsia"/>
          <w:b w:val="0"/>
          <w:bCs w:val="0"/>
          <w:spacing w:val="-4"/>
          <w:sz w:val="32"/>
          <w:szCs w:val="32"/>
        </w:rPr>
        <w:br/>
        <w:t>对纳入2023年正常维护的路灯、公共部分亮化设施进行维护管理，保障城区道路照明及公共亮化设施的正常运行，方便市民夜间出行，美化、亮化城市。</w:t>
      </w:r>
      <w:r>
        <w:rPr>
          <w:rStyle w:val="ad"/>
          <w:rFonts w:ascii="楷体" w:eastAsia="楷体" w:hAnsi="楷体" w:hint="eastAsia"/>
          <w:b w:val="0"/>
          <w:bCs w:val="0"/>
          <w:spacing w:val="-4"/>
          <w:sz w:val="32"/>
          <w:szCs w:val="32"/>
        </w:rPr>
        <w:br/>
        <w:t>本项目于2022年1月开始实施，截止2022年12月已全部完成，通过本项目的实施，保障城区道路照明及公共亮化设施的正常运行，方便市民夜间出行，美化、亮化城市。</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br/>
        <w:t>3.项目实施主体</w:t>
      </w:r>
      <w:r>
        <w:rPr>
          <w:rStyle w:val="ad"/>
          <w:rFonts w:ascii="楷体" w:eastAsia="楷体" w:hAnsi="楷体" w:hint="eastAsia"/>
          <w:b w:val="0"/>
          <w:bCs w:val="0"/>
          <w:spacing w:val="-4"/>
          <w:sz w:val="32"/>
          <w:szCs w:val="32"/>
        </w:rPr>
        <w:br/>
        <w:t>昌吉州呼图壁县2022年城市公用设施路灯电费项目的实施主体为呼图壁县住房和城乡建设局。</w:t>
      </w:r>
      <w:r>
        <w:rPr>
          <w:rStyle w:val="ad"/>
          <w:rFonts w:ascii="楷体" w:eastAsia="楷体" w:hAnsi="楷体" w:hint="eastAsia"/>
          <w:b w:val="0"/>
          <w:bCs w:val="0"/>
          <w:spacing w:val="-4"/>
          <w:sz w:val="32"/>
          <w:szCs w:val="32"/>
        </w:rPr>
        <w:br/>
        <w:t>呼图壁县住房和城乡建设局无下属预算单位，下设二级局1个，执法大队1个及9个业务科室，分别是：房产管理局、城乡管理综合执法大队、建设工程安全监督站、燃气供热服务站、建设工程造价管理站、招投标管理所、建设工程质量监督站、城建档案室、财务室、综合办公室、安居富民办公室。</w:t>
      </w:r>
      <w:r>
        <w:rPr>
          <w:rStyle w:val="ad"/>
          <w:rFonts w:ascii="楷体" w:eastAsia="楷体" w:hAnsi="楷体" w:hint="eastAsia"/>
          <w:b w:val="0"/>
          <w:bCs w:val="0"/>
          <w:spacing w:val="-4"/>
          <w:sz w:val="32"/>
          <w:szCs w:val="32"/>
        </w:rPr>
        <w:br/>
        <w:t>呼图壁县住房和城乡建设局单位编制数45，实有人数42人，其中：在职32人，减少1人； 退休9人，离休1人。</w:t>
      </w:r>
      <w:r>
        <w:rPr>
          <w:rStyle w:val="ad"/>
          <w:rFonts w:ascii="楷体" w:eastAsia="楷体" w:hAnsi="楷体" w:hint="eastAsia"/>
          <w:b w:val="0"/>
          <w:bCs w:val="0"/>
          <w:spacing w:val="-4"/>
          <w:sz w:val="32"/>
          <w:szCs w:val="32"/>
        </w:rPr>
        <w:br/>
        <w:t>4. 资金投入和使用情况</w:t>
      </w:r>
      <w:r>
        <w:rPr>
          <w:rStyle w:val="ad"/>
          <w:rFonts w:ascii="楷体" w:eastAsia="楷体" w:hAnsi="楷体" w:hint="eastAsia"/>
          <w:b w:val="0"/>
          <w:bCs w:val="0"/>
          <w:spacing w:val="-4"/>
          <w:sz w:val="32"/>
          <w:szCs w:val="32"/>
        </w:rPr>
        <w:br/>
        <w:t>（1）项目资金安排落实、总投入情况</w:t>
      </w:r>
      <w:r>
        <w:rPr>
          <w:rStyle w:val="ad"/>
          <w:rFonts w:ascii="楷体" w:eastAsia="楷体" w:hAnsi="楷体" w:hint="eastAsia"/>
          <w:b w:val="0"/>
          <w:bCs w:val="0"/>
          <w:spacing w:val="-4"/>
          <w:sz w:val="32"/>
          <w:szCs w:val="32"/>
        </w:rPr>
        <w:br/>
        <w:t>根据财政预算，下达2022年城市公用设施路灯电费项目资金，预算安排资金总额511万元，其中财政资金511万元、其他资金0万元，2022年实际收到预算资金339万元，预算资金到位率为66%。</w:t>
      </w:r>
      <w:r>
        <w:rPr>
          <w:rStyle w:val="ad"/>
          <w:rFonts w:ascii="楷体" w:eastAsia="楷体" w:hAnsi="楷体" w:hint="eastAsia"/>
          <w:b w:val="0"/>
          <w:bCs w:val="0"/>
          <w:spacing w:val="-4"/>
          <w:sz w:val="32"/>
          <w:szCs w:val="32"/>
        </w:rPr>
        <w:br/>
        <w:t>（2）项目资金实际使用情况</w:t>
      </w:r>
      <w:r>
        <w:rPr>
          <w:rStyle w:val="ad"/>
          <w:rFonts w:ascii="楷体" w:eastAsia="楷体" w:hAnsi="楷体" w:hint="eastAsia"/>
          <w:b w:val="0"/>
          <w:bCs w:val="0"/>
          <w:spacing w:val="-4"/>
          <w:sz w:val="32"/>
          <w:szCs w:val="32"/>
        </w:rPr>
        <w:br/>
        <w:t>截至2022年12月31日，本项目实际支付资金339万元，预算执行率100.0%。项目资金主要用于支付城市公用设施路灯电费项目费用339万元。</w:t>
      </w:r>
    </w:p>
    <w:p w14:paraId="4F4379BA"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6AA1B42D"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1.总体目标</w:t>
      </w:r>
      <w:r>
        <w:rPr>
          <w:rStyle w:val="ad"/>
          <w:rFonts w:ascii="楷体" w:eastAsia="楷体" w:hAnsi="楷体" w:hint="eastAsia"/>
          <w:b w:val="0"/>
          <w:bCs w:val="0"/>
          <w:spacing w:val="-4"/>
          <w:sz w:val="32"/>
          <w:szCs w:val="32"/>
        </w:rPr>
        <w:br/>
        <w:t>贯彻落实国家、自治区、州、县关于住房和城乡建设工作的法律、法规、规章和政策；拟定住房和城乡建设发展战略、产业政策、</w:t>
      </w:r>
      <w:r>
        <w:rPr>
          <w:rStyle w:val="ad"/>
          <w:rFonts w:ascii="楷体" w:eastAsia="楷体" w:hAnsi="楷体" w:hint="eastAsia"/>
          <w:b w:val="0"/>
          <w:bCs w:val="0"/>
          <w:spacing w:val="-4"/>
          <w:sz w:val="32"/>
          <w:szCs w:val="32"/>
        </w:rPr>
        <w:lastRenderedPageBreak/>
        <w:t>改革方案、中长期规划及年度计划并组织实施，承担城市建设工作，承担村镇建设指导管理责任，承担建筑市场管理和建设工程质量、安全生产的监督管理责任；负责全县建设工程消防设计审查验收。根据《中华人民共和国电力法》及《城市照明管理规定》等有关法律法规和文件精神，严格规范城区路灯的管理，确保县城照明工作正常运行。县政府2022年度安排县级财政预算资金511万元，专项用于公用设施用电费补助，以保障全县路灯正常运行，方便群众出行，提升城市夜景亮化水平，提升我县形象。</w:t>
      </w:r>
      <w:r>
        <w:rPr>
          <w:rStyle w:val="ad"/>
          <w:rFonts w:ascii="楷体" w:eastAsia="楷体" w:hAnsi="楷体" w:hint="eastAsia"/>
          <w:b w:val="0"/>
          <w:bCs w:val="0"/>
          <w:spacing w:val="-4"/>
          <w:sz w:val="32"/>
          <w:szCs w:val="32"/>
        </w:rPr>
        <w:br/>
        <w:t>2.阶段性目标</w:t>
      </w:r>
      <w:r>
        <w:rPr>
          <w:rStyle w:val="ad"/>
          <w:rFonts w:ascii="楷体" w:eastAsia="楷体" w:hAnsi="楷体" w:hint="eastAsia"/>
          <w:b w:val="0"/>
          <w:bCs w:val="0"/>
          <w:spacing w:val="-4"/>
          <w:sz w:val="32"/>
          <w:szCs w:val="32"/>
        </w:rPr>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ad"/>
          <w:rFonts w:ascii="楷体" w:eastAsia="楷体" w:hAnsi="楷体" w:hint="eastAsia"/>
          <w:b w:val="0"/>
          <w:bCs w:val="0"/>
          <w:spacing w:val="-4"/>
          <w:sz w:val="32"/>
          <w:szCs w:val="32"/>
        </w:rPr>
        <w:br/>
        <w:t>（1）项目产出目标</w:t>
      </w:r>
      <w:r>
        <w:rPr>
          <w:rStyle w:val="ad"/>
          <w:rFonts w:ascii="楷体" w:eastAsia="楷体" w:hAnsi="楷体" w:hint="eastAsia"/>
          <w:b w:val="0"/>
          <w:bCs w:val="0"/>
          <w:spacing w:val="-4"/>
          <w:sz w:val="32"/>
          <w:szCs w:val="32"/>
        </w:rPr>
        <w:br/>
        <w:t>①数量指标</w:t>
      </w:r>
      <w:r>
        <w:rPr>
          <w:rStyle w:val="ad"/>
          <w:rFonts w:ascii="楷体" w:eastAsia="楷体" w:hAnsi="楷体" w:hint="eastAsia"/>
          <w:b w:val="0"/>
          <w:bCs w:val="0"/>
          <w:spacing w:val="-4"/>
          <w:sz w:val="32"/>
          <w:szCs w:val="32"/>
        </w:rPr>
        <w:br/>
        <w:t xml:space="preserve"> “年用电量”指标，预期指标值为“≤12775000千瓦时”； </w:t>
      </w:r>
      <w:r>
        <w:rPr>
          <w:rStyle w:val="ad"/>
          <w:rFonts w:ascii="楷体" w:eastAsia="楷体" w:hAnsi="楷体" w:hint="eastAsia"/>
          <w:b w:val="0"/>
          <w:bCs w:val="0"/>
          <w:spacing w:val="-4"/>
          <w:sz w:val="32"/>
          <w:szCs w:val="32"/>
        </w:rPr>
        <w:br/>
        <w:t>“路灯照明日平均运行时间”指标，预期指标值为“≤13小时”；</w:t>
      </w:r>
      <w:r>
        <w:rPr>
          <w:rStyle w:val="ad"/>
          <w:rFonts w:ascii="楷体" w:eastAsia="楷体" w:hAnsi="楷体" w:hint="eastAsia"/>
          <w:b w:val="0"/>
          <w:bCs w:val="0"/>
          <w:spacing w:val="-4"/>
          <w:sz w:val="32"/>
          <w:szCs w:val="32"/>
        </w:rPr>
        <w:br/>
        <w:t>②质量指标</w:t>
      </w:r>
      <w:r>
        <w:rPr>
          <w:rStyle w:val="ad"/>
          <w:rFonts w:ascii="楷体" w:eastAsia="楷体" w:hAnsi="楷体" w:hint="eastAsia"/>
          <w:b w:val="0"/>
          <w:bCs w:val="0"/>
          <w:spacing w:val="-4"/>
          <w:sz w:val="32"/>
          <w:szCs w:val="32"/>
        </w:rPr>
        <w:br/>
        <w:t>“供电可靠率”指标，预期指标值为“≥95%”；</w:t>
      </w:r>
      <w:r>
        <w:rPr>
          <w:rStyle w:val="ad"/>
          <w:rFonts w:ascii="楷体" w:eastAsia="楷体" w:hAnsi="楷体" w:hint="eastAsia"/>
          <w:b w:val="0"/>
          <w:bCs w:val="0"/>
          <w:spacing w:val="-4"/>
          <w:sz w:val="32"/>
          <w:szCs w:val="32"/>
        </w:rPr>
        <w:br/>
        <w:t>“公用设施路灯亮化率”指标，预期指标值为“≥95%”；</w:t>
      </w:r>
      <w:r>
        <w:rPr>
          <w:rStyle w:val="ad"/>
          <w:rFonts w:ascii="楷体" w:eastAsia="楷体" w:hAnsi="楷体" w:hint="eastAsia"/>
          <w:b w:val="0"/>
          <w:bCs w:val="0"/>
          <w:spacing w:val="-4"/>
          <w:sz w:val="32"/>
          <w:szCs w:val="32"/>
        </w:rPr>
        <w:br/>
        <w:t>③时效指标</w:t>
      </w:r>
      <w:r>
        <w:rPr>
          <w:rStyle w:val="ad"/>
          <w:rFonts w:ascii="楷体" w:eastAsia="楷体" w:hAnsi="楷体" w:hint="eastAsia"/>
          <w:b w:val="0"/>
          <w:bCs w:val="0"/>
          <w:spacing w:val="-4"/>
          <w:sz w:val="32"/>
          <w:szCs w:val="32"/>
        </w:rPr>
        <w:br/>
        <w:t>“路灯电费支付完成时限”指标，预期指标值为“2022/12/31”；</w:t>
      </w:r>
      <w:r>
        <w:rPr>
          <w:rStyle w:val="ad"/>
          <w:rFonts w:ascii="楷体" w:eastAsia="楷体" w:hAnsi="楷体" w:hint="eastAsia"/>
          <w:b w:val="0"/>
          <w:bCs w:val="0"/>
          <w:spacing w:val="-4"/>
          <w:sz w:val="32"/>
          <w:szCs w:val="32"/>
        </w:rPr>
        <w:br/>
        <w:t>“路灯电费支付及时率”指标，预期指标值为“≥95%”</w:t>
      </w:r>
      <w:r>
        <w:rPr>
          <w:rStyle w:val="ad"/>
          <w:rFonts w:ascii="楷体" w:eastAsia="楷体" w:hAnsi="楷体" w:hint="eastAsia"/>
          <w:b w:val="0"/>
          <w:bCs w:val="0"/>
          <w:spacing w:val="-4"/>
          <w:sz w:val="32"/>
          <w:szCs w:val="32"/>
        </w:rPr>
        <w:br/>
        <w:t>④成本指标</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“公用设施用电费”指标，预期指标值为“≤511万元”</w:t>
      </w:r>
      <w:r>
        <w:rPr>
          <w:rStyle w:val="ad"/>
          <w:rFonts w:ascii="楷体" w:eastAsia="楷体" w:hAnsi="楷体" w:hint="eastAsia"/>
          <w:b w:val="0"/>
          <w:bCs w:val="0"/>
          <w:spacing w:val="-4"/>
          <w:sz w:val="32"/>
          <w:szCs w:val="32"/>
        </w:rPr>
        <w:br/>
        <w:t>（2）项目效益目标</w:t>
      </w:r>
      <w:r>
        <w:rPr>
          <w:rStyle w:val="ad"/>
          <w:rFonts w:ascii="楷体" w:eastAsia="楷体" w:hAnsi="楷体" w:hint="eastAsia"/>
          <w:b w:val="0"/>
          <w:bCs w:val="0"/>
          <w:spacing w:val="-4"/>
          <w:sz w:val="32"/>
          <w:szCs w:val="32"/>
        </w:rPr>
        <w:br/>
        <w:t>①经济效益指标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②社会效益指标</w:t>
      </w:r>
      <w:r>
        <w:rPr>
          <w:rStyle w:val="ad"/>
          <w:rFonts w:ascii="楷体" w:eastAsia="楷体" w:hAnsi="楷体" w:hint="eastAsia"/>
          <w:b w:val="0"/>
          <w:bCs w:val="0"/>
          <w:spacing w:val="-4"/>
          <w:sz w:val="32"/>
          <w:szCs w:val="32"/>
        </w:rPr>
        <w:br/>
        <w:t>“方便居民出行，保障夜间交通安全”指标，预期指标值为“有所保障”</w:t>
      </w:r>
      <w:r>
        <w:rPr>
          <w:rStyle w:val="ad"/>
          <w:rFonts w:ascii="楷体" w:eastAsia="楷体" w:hAnsi="楷体" w:hint="eastAsia"/>
          <w:b w:val="0"/>
          <w:bCs w:val="0"/>
          <w:spacing w:val="-4"/>
          <w:sz w:val="32"/>
          <w:szCs w:val="32"/>
        </w:rPr>
        <w:br/>
        <w:t>“重大节日公用设施照明正常运转率”指标，预期指标值为“≥95%”</w:t>
      </w:r>
      <w:r>
        <w:rPr>
          <w:rStyle w:val="ad"/>
          <w:rFonts w:ascii="楷体" w:eastAsia="楷体" w:hAnsi="楷体" w:hint="eastAsia"/>
          <w:b w:val="0"/>
          <w:bCs w:val="0"/>
          <w:spacing w:val="-4"/>
          <w:sz w:val="32"/>
          <w:szCs w:val="32"/>
        </w:rPr>
        <w:br/>
        <w:t>③生态效益指标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④可持续影响指标</w:t>
      </w:r>
      <w:r>
        <w:rPr>
          <w:rStyle w:val="ad"/>
          <w:rFonts w:ascii="楷体" w:eastAsia="楷体" w:hAnsi="楷体" w:hint="eastAsia"/>
          <w:b w:val="0"/>
          <w:bCs w:val="0"/>
          <w:spacing w:val="-4"/>
          <w:sz w:val="32"/>
          <w:szCs w:val="32"/>
        </w:rPr>
        <w:br/>
        <w:t>“提升城市夜景亮化水平”指标，预期指标值为“长期”；</w:t>
      </w:r>
      <w:r>
        <w:rPr>
          <w:rStyle w:val="ad"/>
          <w:rFonts w:ascii="楷体" w:eastAsia="楷体" w:hAnsi="楷体" w:hint="eastAsia"/>
          <w:b w:val="0"/>
          <w:bCs w:val="0"/>
          <w:spacing w:val="-4"/>
          <w:sz w:val="32"/>
          <w:szCs w:val="32"/>
        </w:rPr>
        <w:br/>
        <w:t>（3）相关满意度目标</w:t>
      </w:r>
      <w:r>
        <w:rPr>
          <w:rStyle w:val="ad"/>
          <w:rFonts w:ascii="楷体" w:eastAsia="楷体" w:hAnsi="楷体" w:hint="eastAsia"/>
          <w:b w:val="0"/>
          <w:bCs w:val="0"/>
          <w:spacing w:val="-4"/>
          <w:sz w:val="32"/>
          <w:szCs w:val="32"/>
        </w:rPr>
        <w:br/>
        <w:t>满意度指标</w:t>
      </w:r>
      <w:r>
        <w:rPr>
          <w:rStyle w:val="ad"/>
          <w:rFonts w:ascii="楷体" w:eastAsia="楷体" w:hAnsi="楷体" w:hint="eastAsia"/>
          <w:b w:val="0"/>
          <w:bCs w:val="0"/>
          <w:spacing w:val="-4"/>
          <w:sz w:val="32"/>
          <w:szCs w:val="32"/>
        </w:rPr>
        <w:br/>
        <w:t>“受益群体满意度”指标，预期指标值为“≥95%”；</w:t>
      </w:r>
    </w:p>
    <w:p w14:paraId="588A19DB"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450EDBE5"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6616CB43"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1.绩效评价的目的</w:t>
      </w:r>
      <w:r>
        <w:rPr>
          <w:rStyle w:val="ad"/>
          <w:rFonts w:ascii="楷体" w:eastAsia="楷体" w:hAnsi="楷体" w:hint="eastAsia"/>
          <w:b w:val="0"/>
          <w:bCs w:val="0"/>
          <w:spacing w:val="-4"/>
          <w:sz w:val="32"/>
          <w:szCs w:val="32"/>
        </w:rPr>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ad"/>
          <w:rFonts w:ascii="楷体" w:eastAsia="楷体" w:hAnsi="楷体" w:hint="eastAsia"/>
          <w:b w:val="0"/>
          <w:bCs w:val="0"/>
          <w:spacing w:val="-4"/>
          <w:sz w:val="32"/>
          <w:szCs w:val="32"/>
        </w:rPr>
        <w:br/>
        <w:t>2.绩效评价的对象和范围</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本次绩效评价遵循财政部《关于印发&lt;项目支出绩效评价管理办法&gt;的通知》（财预〔2020〕10号）以及自治区财政厅《自治区财政支出绩效评价管理暂行办法》（新财预〔2018〕189号）等文件规定，对2022年度我单位实施的2022年城市公用设施路灯电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1380B8D6"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4C3FA802"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1.绩效评价原则</w:t>
      </w:r>
      <w:r>
        <w:rPr>
          <w:rStyle w:val="ad"/>
          <w:rFonts w:ascii="楷体" w:eastAsia="楷体" w:hAnsi="楷体" w:hint="eastAsia"/>
          <w:b w:val="0"/>
          <w:bCs w:val="0"/>
          <w:spacing w:val="-4"/>
          <w:sz w:val="32"/>
          <w:szCs w:val="32"/>
        </w:rPr>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2022年城市公用设施路灯电费项目实际开展情况，运用定量和定性分析相结合的方法，总结经验做法，反思项目实施和管理中的问题，以切实提升财政资金管理的科学化、规范化和精细化水平。</w:t>
      </w:r>
      <w:r>
        <w:rPr>
          <w:rStyle w:val="ad"/>
          <w:rFonts w:ascii="楷体" w:eastAsia="楷体" w:hAnsi="楷体" w:hint="eastAsia"/>
          <w:b w:val="0"/>
          <w:bCs w:val="0"/>
          <w:spacing w:val="-4"/>
          <w:sz w:val="32"/>
          <w:szCs w:val="32"/>
        </w:rPr>
        <w:br/>
        <w:t>根据以上原则，绩效评价遵循如下具体要求：</w:t>
      </w:r>
      <w:r>
        <w:rPr>
          <w:rStyle w:val="ad"/>
          <w:rFonts w:ascii="楷体" w:eastAsia="楷体" w:hAnsi="楷体" w:hint="eastAsia"/>
          <w:b w:val="0"/>
          <w:bCs w:val="0"/>
          <w:spacing w:val="-4"/>
          <w:sz w:val="32"/>
          <w:szCs w:val="32"/>
        </w:rPr>
        <w:br/>
        <w:t>（1）在数据采集时，采取客观数据主管部门审查、社会中介组织复查与问卷调查相结合的形式，以保证各项指标的真实性。</w:t>
      </w:r>
      <w:r>
        <w:rPr>
          <w:rStyle w:val="ad"/>
          <w:rFonts w:ascii="楷体" w:eastAsia="楷体" w:hAnsi="楷体" w:hint="eastAsia"/>
          <w:b w:val="0"/>
          <w:bCs w:val="0"/>
          <w:spacing w:val="-4"/>
          <w:sz w:val="32"/>
          <w:szCs w:val="32"/>
        </w:rPr>
        <w:br/>
        <w:t>（2）保证评价结果的真实性、公正性，提高评价报告的公信力。</w:t>
      </w:r>
      <w:r>
        <w:rPr>
          <w:rStyle w:val="ad"/>
          <w:rFonts w:ascii="楷体" w:eastAsia="楷体" w:hAnsi="楷体" w:hint="eastAsia"/>
          <w:b w:val="0"/>
          <w:bCs w:val="0"/>
          <w:spacing w:val="-4"/>
          <w:sz w:val="32"/>
          <w:szCs w:val="32"/>
        </w:rPr>
        <w:br/>
        <w:t>（3）绩效评价报告简明扼要，除对绩效评价的过程、结果描述外，还总结经验、指出问题，并就共性问题提出可操作性改进建议。</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2.绩效评价指标体系及绩效评价标准</w:t>
      </w:r>
      <w:r>
        <w:rPr>
          <w:rStyle w:val="ad"/>
          <w:rFonts w:ascii="楷体" w:eastAsia="楷体" w:hAnsi="楷体" w:hint="eastAsia"/>
          <w:b w:val="0"/>
          <w:bCs w:val="0"/>
          <w:spacing w:val="-4"/>
          <w:sz w:val="32"/>
          <w:szCs w:val="32"/>
        </w:rPr>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ad"/>
          <w:rFonts w:ascii="楷体" w:eastAsia="楷体" w:hAnsi="楷体" w:hint="eastAsia"/>
          <w:b w:val="0"/>
          <w:bCs w:val="0"/>
          <w:spacing w:val="-4"/>
          <w:sz w:val="32"/>
          <w:szCs w:val="32"/>
        </w:rPr>
        <w:br/>
        <w:t>一级指标为：决策、过程、产出、效益。</w:t>
      </w:r>
      <w:r>
        <w:rPr>
          <w:rStyle w:val="ad"/>
          <w:rFonts w:ascii="楷体" w:eastAsia="楷体" w:hAnsi="楷体" w:hint="eastAsia"/>
          <w:b w:val="0"/>
          <w:bCs w:val="0"/>
          <w:spacing w:val="-4"/>
          <w:sz w:val="32"/>
          <w:szCs w:val="32"/>
        </w:rPr>
        <w:br/>
        <w:t>二级指标为：项目立项、绩效目标、资金投入、资金管理、组织实施、产出数量、产出质量、产出时效、产出成本、项目效益。</w:t>
      </w:r>
      <w:r>
        <w:rPr>
          <w:rStyle w:val="ad"/>
          <w:rFonts w:ascii="楷体" w:eastAsia="楷体" w:hAnsi="楷体" w:hint="eastAsia"/>
          <w:b w:val="0"/>
          <w:bCs w:val="0"/>
          <w:spacing w:val="-4"/>
          <w:sz w:val="32"/>
          <w:szCs w:val="32"/>
        </w:rPr>
        <w:br/>
        <w:t>三级指标为：立项依据充分性、立项程序规范性、绩效目标合理性、绩效指标明确性、预算编制科学性、资金分配合理性、资金到位率、预算执行率、资金使用合规性、管理制度健全性、制度执行有效性、实际完成率、质量达标率、供电可靠率、路灯电费支付及时率、社会效益、可持续影响、服务对象满意度。</w:t>
      </w:r>
      <w:r>
        <w:rPr>
          <w:rStyle w:val="ad"/>
          <w:rFonts w:ascii="楷体" w:eastAsia="楷体" w:hAnsi="楷体" w:hint="eastAsia"/>
          <w:b w:val="0"/>
          <w:bCs w:val="0"/>
          <w:spacing w:val="-4"/>
          <w:sz w:val="32"/>
          <w:szCs w:val="32"/>
        </w:rPr>
        <w:br/>
        <w:t>3.评价方法</w:t>
      </w:r>
      <w:r>
        <w:rPr>
          <w:rStyle w:val="ad"/>
          <w:rFonts w:ascii="楷体" w:eastAsia="楷体" w:hAnsi="楷体" w:hint="eastAsia"/>
          <w:b w:val="0"/>
          <w:bCs w:val="0"/>
          <w:spacing w:val="-4"/>
          <w:sz w:val="32"/>
          <w:szCs w:val="32"/>
        </w:rPr>
        <w:br/>
        <w:t>本次评价采取定量与定性评价相结合的方式，采用比较法、公众评判法对项目实施过程以及预期绩效目标完成情况进行全面、系统的评价，总分由各项指标得分汇总形成。</w:t>
      </w:r>
      <w:r>
        <w:rPr>
          <w:rStyle w:val="ad"/>
          <w:rFonts w:ascii="楷体" w:eastAsia="楷体" w:hAnsi="楷体" w:hint="eastAsia"/>
          <w:b w:val="0"/>
          <w:bCs w:val="0"/>
          <w:spacing w:val="-4"/>
          <w:sz w:val="32"/>
          <w:szCs w:val="32"/>
        </w:rPr>
        <w:b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ad"/>
          <w:rFonts w:ascii="楷体" w:eastAsia="楷体" w:hAnsi="楷体" w:hint="eastAsia"/>
          <w:b w:val="0"/>
          <w:bCs w:val="0"/>
          <w:spacing w:val="-4"/>
          <w:sz w:val="32"/>
          <w:szCs w:val="32"/>
        </w:rPr>
        <w:br/>
        <w:t>公众评判法：评价组采用实地访谈、远程访谈相结合方式，对本项目的实施情况进行充分调研，了解掌握资金分配、资金管理、资金使用、制度建设、制度执行情况。采用问卷调查方式，对受</w:t>
      </w:r>
      <w:r>
        <w:rPr>
          <w:rStyle w:val="ad"/>
          <w:rFonts w:ascii="楷体" w:eastAsia="楷体" w:hAnsi="楷体" w:hint="eastAsia"/>
          <w:b w:val="0"/>
          <w:bCs w:val="0"/>
          <w:spacing w:val="-4"/>
          <w:sz w:val="32"/>
          <w:szCs w:val="32"/>
        </w:rPr>
        <w:lastRenderedPageBreak/>
        <w:t>益对象开展满意度调查，进行综合评价。</w:t>
      </w:r>
      <w:r>
        <w:rPr>
          <w:rStyle w:val="ad"/>
          <w:rFonts w:ascii="楷体" w:eastAsia="楷体" w:hAnsi="楷体" w:hint="eastAsia"/>
          <w:b w:val="0"/>
          <w:bCs w:val="0"/>
          <w:spacing w:val="-4"/>
          <w:sz w:val="32"/>
          <w:szCs w:val="32"/>
        </w:rPr>
        <w:br/>
        <w:t>4.评价标准</w:t>
      </w:r>
      <w:r>
        <w:rPr>
          <w:rStyle w:val="ad"/>
          <w:rFonts w:ascii="楷体" w:eastAsia="楷体" w:hAnsi="楷体" w:hint="eastAsia"/>
          <w:b w:val="0"/>
          <w:bCs w:val="0"/>
          <w:spacing w:val="-4"/>
          <w:sz w:val="32"/>
          <w:szCs w:val="32"/>
        </w:rPr>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411D2C65"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173CE61A"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第一阶段：前期准备。</w:t>
      </w:r>
      <w:r>
        <w:rPr>
          <w:rStyle w:val="ad"/>
          <w:rFonts w:ascii="楷体" w:eastAsia="楷体" w:hAnsi="楷体" w:hint="eastAsia"/>
          <w:b w:val="0"/>
          <w:bCs w:val="0"/>
          <w:spacing w:val="-4"/>
          <w:sz w:val="32"/>
          <w:szCs w:val="32"/>
        </w:rPr>
        <w:br/>
        <w:t>我单位绩效评价人员根据《项目支出绩效评价管理办法》（财预〔2020〕10号）文件精神认真学习相关要求与规定，成立绩效评价工作组，作为绩效评价工作具体实施机构。成员构成如下：</w:t>
      </w:r>
      <w:r>
        <w:rPr>
          <w:rStyle w:val="ad"/>
          <w:rFonts w:ascii="楷体" w:eastAsia="楷体" w:hAnsi="楷体" w:hint="eastAsia"/>
          <w:b w:val="0"/>
          <w:bCs w:val="0"/>
          <w:spacing w:val="-4"/>
          <w:sz w:val="32"/>
          <w:szCs w:val="32"/>
        </w:rPr>
        <w:br/>
        <w:t>王军（住房和城乡建设局党组书记）任评价组组长，绩效评价工作职责为检查项目绩效指标完成情况、审定项目支出绩效评价结果及项目支出绩效评价报告。</w:t>
      </w:r>
      <w:r>
        <w:rPr>
          <w:rStyle w:val="ad"/>
          <w:rFonts w:ascii="楷体" w:eastAsia="楷体" w:hAnsi="楷体" w:hint="eastAsia"/>
          <w:b w:val="0"/>
          <w:bCs w:val="0"/>
          <w:spacing w:val="-4"/>
          <w:sz w:val="32"/>
          <w:szCs w:val="32"/>
        </w:rPr>
        <w:br/>
        <w:t>海淼、李江、何玉博（住房和城乡建设局党组成员）任评价组副组长，绩效评价工作职责为组织和协调项目工作人员采取实地调查、资料检查等方式，核实项目绩效指标完成情况；组织受益对象对项目工作进行评价等。</w:t>
      </w:r>
      <w:r>
        <w:rPr>
          <w:rStyle w:val="ad"/>
          <w:rFonts w:ascii="楷体" w:eastAsia="楷体" w:hAnsi="楷体" w:hint="eastAsia"/>
          <w:b w:val="0"/>
          <w:bCs w:val="0"/>
          <w:spacing w:val="-4"/>
          <w:sz w:val="32"/>
          <w:szCs w:val="32"/>
        </w:rPr>
        <w:br/>
        <w:t>王兴龙、张宏凯、汪振兴、程莉萍、刘洋谷雨、储相波（住房和城乡建设局干部）任评价组成员，绩效评价工作职责为做好项目支出绩效评价工作的沟通协调工作，对项目实施情况进行实地调查，编写项目支出绩效评价报告。</w:t>
      </w:r>
      <w:r>
        <w:rPr>
          <w:rStyle w:val="ad"/>
          <w:rFonts w:ascii="楷体" w:eastAsia="楷体" w:hAnsi="楷体" w:hint="eastAsia"/>
          <w:b w:val="0"/>
          <w:bCs w:val="0"/>
          <w:spacing w:val="-4"/>
          <w:sz w:val="32"/>
          <w:szCs w:val="32"/>
        </w:rPr>
        <w:br/>
        <w:t>第二阶段：组织实施。</w:t>
      </w:r>
      <w:r>
        <w:rPr>
          <w:rStyle w:val="ad"/>
          <w:rFonts w:ascii="楷体" w:eastAsia="楷体" w:hAnsi="楷体" w:hint="eastAsia"/>
          <w:b w:val="0"/>
          <w:bCs w:val="0"/>
          <w:spacing w:val="-4"/>
          <w:sz w:val="32"/>
          <w:szCs w:val="32"/>
        </w:rPr>
        <w:br/>
        <w:t>评价组通过实地调研、查阅资料等方式，采用综合分析法对项目</w:t>
      </w:r>
      <w:r>
        <w:rPr>
          <w:rStyle w:val="ad"/>
          <w:rFonts w:ascii="楷体" w:eastAsia="楷体" w:hAnsi="楷体" w:hint="eastAsia"/>
          <w:b w:val="0"/>
          <w:bCs w:val="0"/>
          <w:spacing w:val="-4"/>
          <w:sz w:val="32"/>
          <w:szCs w:val="32"/>
        </w:rPr>
        <w:lastRenderedPageBreak/>
        <w:t>的决策、管理、绩效进行的综合评价分析。</w:t>
      </w:r>
      <w:r>
        <w:rPr>
          <w:rStyle w:val="ad"/>
          <w:rFonts w:ascii="楷体" w:eastAsia="楷体" w:hAnsi="楷体" w:hint="eastAsia"/>
          <w:b w:val="0"/>
          <w:bCs w:val="0"/>
          <w:spacing w:val="-4"/>
          <w:sz w:val="32"/>
          <w:szCs w:val="32"/>
        </w:rPr>
        <w:br/>
        <w:t>第三阶段：分析评价。</w:t>
      </w:r>
      <w:r>
        <w:rPr>
          <w:rStyle w:val="ad"/>
          <w:rFonts w:ascii="楷体" w:eastAsia="楷体" w:hAnsi="楷体" w:hint="eastAsia"/>
          <w:b w:val="0"/>
          <w:bCs w:val="0"/>
          <w:spacing w:val="-4"/>
          <w:sz w:val="32"/>
          <w:szCs w:val="32"/>
        </w:rPr>
        <w:br/>
        <w:t>首先按照指标体系进行定量、定性分析。其次开展量化打分、综合评价工作，形成初步评价结论。最后归纳整体项目情况与存在问题，撰写部门绩效评价报告。</w:t>
      </w:r>
      <w:r>
        <w:rPr>
          <w:rStyle w:val="ad"/>
          <w:rFonts w:ascii="楷体" w:eastAsia="楷体" w:hAnsi="楷体" w:hint="eastAsia"/>
          <w:b w:val="0"/>
          <w:bCs w:val="0"/>
          <w:spacing w:val="-4"/>
          <w:sz w:val="32"/>
          <w:szCs w:val="32"/>
        </w:rPr>
        <w:br/>
        <w:t>第四阶段：撰写与提交评价报告</w:t>
      </w:r>
      <w:r>
        <w:rPr>
          <w:rStyle w:val="ad"/>
          <w:rFonts w:ascii="楷体" w:eastAsia="楷体" w:hAnsi="楷体" w:hint="eastAsia"/>
          <w:b w:val="0"/>
          <w:bCs w:val="0"/>
          <w:spacing w:val="-4"/>
          <w:sz w:val="32"/>
          <w:szCs w:val="32"/>
        </w:rPr>
        <w:br/>
        <w:t>项目撰写绩效评价报告，按照财政局大平台绩效系统中统一格式和文本框架撰写绩效评价报告。</w:t>
      </w:r>
      <w:r>
        <w:rPr>
          <w:rStyle w:val="ad"/>
          <w:rFonts w:ascii="楷体" w:eastAsia="楷体" w:hAnsi="楷体" w:hint="eastAsia"/>
          <w:b w:val="0"/>
          <w:bCs w:val="0"/>
          <w:spacing w:val="-4"/>
          <w:sz w:val="32"/>
          <w:szCs w:val="32"/>
        </w:rPr>
        <w:br/>
        <w:t>第五阶段：归集档案</w:t>
      </w:r>
      <w:r>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16542AE5"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35FE568E"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综合评价情况</w:t>
      </w:r>
      <w:r>
        <w:rPr>
          <w:rStyle w:val="ad"/>
          <w:rFonts w:ascii="楷体" w:eastAsia="楷体" w:hAnsi="楷体" w:hint="eastAsia"/>
          <w:b w:val="0"/>
          <w:bCs w:val="0"/>
          <w:spacing w:val="-4"/>
          <w:sz w:val="32"/>
          <w:szCs w:val="32"/>
        </w:rPr>
        <w:br/>
        <w:t>通过2022年城市公用设施路灯电费项目的实施，严格规范城区路灯及公共设施的管理，确保县城照明等工作正常运行，保障全县路灯正常运行，方便群众出行，提升城市夜景亮化水平，提升我县形象，该项目预算执行率达66%，项目预期绩效目标及各项具体指标基本达成。</w:t>
      </w:r>
      <w:r>
        <w:rPr>
          <w:rStyle w:val="ad"/>
          <w:rFonts w:ascii="楷体" w:eastAsia="楷体" w:hAnsi="楷体" w:hint="eastAsia"/>
          <w:b w:val="0"/>
          <w:bCs w:val="0"/>
          <w:spacing w:val="-4"/>
          <w:sz w:val="32"/>
          <w:szCs w:val="32"/>
        </w:rPr>
        <w:br/>
        <w:t>（二）综合评价结论</w:t>
      </w:r>
      <w:r>
        <w:rPr>
          <w:rStyle w:val="ad"/>
          <w:rFonts w:ascii="楷体" w:eastAsia="楷体" w:hAnsi="楷体" w:hint="eastAsia"/>
          <w:b w:val="0"/>
          <w:bCs w:val="0"/>
          <w:spacing w:val="-4"/>
          <w:sz w:val="32"/>
          <w:szCs w:val="32"/>
        </w:rPr>
        <w:br/>
        <w:t>本次评价采取定量与定性评价相结合的方式，对2022年城市公用设施路灯电费项目的绩效目标和各项具体绩效指标实现情况进行了客观评价，最终评分为96分。绩效评级为“优秀”，具体得分情况为：项目决策20分、项目过程18分、项目产出28分、项目效益30分。</w:t>
      </w:r>
    </w:p>
    <w:p w14:paraId="794B445F" w14:textId="77777777" w:rsidR="0012073C" w:rsidRDefault="009A0637">
      <w:pPr>
        <w:spacing w:line="540" w:lineRule="exact"/>
        <w:ind w:firstLine="640"/>
        <w:rPr>
          <w:rStyle w:val="ad"/>
          <w:rFonts w:ascii="黑体" w:eastAsia="黑体" w:hAnsi="黑体"/>
        </w:rPr>
      </w:pPr>
      <w:r>
        <w:rPr>
          <w:rStyle w:val="ad"/>
          <w:rFonts w:ascii="黑体" w:eastAsia="黑体" w:hAnsi="黑体" w:hint="eastAsia"/>
          <w:b w:val="0"/>
          <w:spacing w:val="-4"/>
          <w:sz w:val="32"/>
          <w:szCs w:val="32"/>
        </w:rPr>
        <w:lastRenderedPageBreak/>
        <w:t>四、绩效评价指标分析</w:t>
      </w:r>
      <w:r>
        <w:rPr>
          <w:rStyle w:val="ad"/>
          <w:rFonts w:ascii="黑体" w:eastAsia="黑体" w:hAnsi="黑体" w:hint="eastAsia"/>
        </w:rPr>
        <w:t xml:space="preserve"> </w:t>
      </w:r>
    </w:p>
    <w:p w14:paraId="578AF8F4"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97DA001" w14:textId="77777777" w:rsidR="0012073C" w:rsidRDefault="009A0637">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项目决策情况</w:t>
      </w:r>
      <w:r>
        <w:rPr>
          <w:rStyle w:val="ad"/>
          <w:rFonts w:ascii="楷体" w:eastAsia="楷体" w:hAnsi="楷体" w:hint="eastAsia"/>
          <w:b w:val="0"/>
          <w:bCs w:val="0"/>
          <w:spacing w:val="-4"/>
          <w:sz w:val="32"/>
          <w:szCs w:val="32"/>
        </w:rPr>
        <w:br/>
        <w:t>项目决策类指标从项目立项、绩效目标和资金投入三个方面评价项目前期准备工作，权重分值为 20 分，本项目实际得分20分，得分率为100%。具体各项指标得分如下：</w:t>
      </w:r>
      <w:r>
        <w:rPr>
          <w:rStyle w:val="ad"/>
          <w:rFonts w:ascii="楷体" w:eastAsia="楷体" w:hAnsi="楷体" w:hint="eastAsia"/>
          <w:b w:val="0"/>
          <w:bCs w:val="0"/>
          <w:spacing w:val="-4"/>
          <w:sz w:val="32"/>
          <w:szCs w:val="32"/>
        </w:rPr>
        <w:br/>
        <w:t>1.1.立项依据充分性：项目立项符合国家法律法规、自治区和地区行业发展规划和政策要求，属于本部门履职所需。根据评分标准，该指标3分，得3分。</w:t>
      </w:r>
      <w:r>
        <w:rPr>
          <w:rStyle w:val="ad"/>
          <w:rFonts w:ascii="楷体" w:eastAsia="楷体" w:hAnsi="楷体" w:hint="eastAsia"/>
          <w:b w:val="0"/>
          <w:bCs w:val="0"/>
          <w:spacing w:val="-4"/>
          <w:sz w:val="32"/>
          <w:szCs w:val="32"/>
        </w:rPr>
        <w:br/>
        <w:t>2.立项程序规范性：根据评分标准，该指标2分，得2分。</w:t>
      </w:r>
      <w:r>
        <w:rPr>
          <w:rStyle w:val="ad"/>
          <w:rFonts w:ascii="楷体" w:eastAsia="楷体" w:hAnsi="楷体" w:hint="eastAsia"/>
          <w:b w:val="0"/>
          <w:bCs w:val="0"/>
          <w:spacing w:val="-4"/>
          <w:sz w:val="32"/>
          <w:szCs w:val="32"/>
        </w:rPr>
        <w:br/>
        <w:t>3.绩效目标合理性：本项目制定了项目支出绩效目标，明确了项目总体思路及总目标、并对项目任务进行了详细分解，对目标进行了细化。根据评分标准，该指标3分，得3分。</w:t>
      </w:r>
      <w:r>
        <w:rPr>
          <w:rStyle w:val="ad"/>
          <w:rFonts w:ascii="楷体" w:eastAsia="楷体" w:hAnsi="楷体" w:hint="eastAsia"/>
          <w:b w:val="0"/>
          <w:bCs w:val="0"/>
          <w:spacing w:val="-4"/>
          <w:sz w:val="32"/>
          <w:szCs w:val="32"/>
        </w:rPr>
        <w:br/>
        <w:t>4.绩效指标明确性：本项目已将项目绩效目标细化分解为具体的绩效指标，并通过清晰、可衡量的指标值予以体现，与项目目标任务数或计划数相对应。根据评分标准，该指标2分，得2分。</w:t>
      </w:r>
      <w:r>
        <w:rPr>
          <w:rStyle w:val="ad"/>
          <w:rFonts w:ascii="楷体" w:eastAsia="楷体" w:hAnsi="楷体" w:hint="eastAsia"/>
          <w:b w:val="0"/>
          <w:bCs w:val="0"/>
          <w:spacing w:val="-4"/>
          <w:sz w:val="32"/>
          <w:szCs w:val="32"/>
        </w:rPr>
        <w:br/>
        <w:t>5.预算编制科学性：根据评分标准，该指标5分，得5分。</w:t>
      </w:r>
      <w:r>
        <w:rPr>
          <w:rStyle w:val="ad"/>
          <w:rFonts w:ascii="楷体" w:eastAsia="楷体" w:hAnsi="楷体" w:hint="eastAsia"/>
          <w:b w:val="0"/>
          <w:bCs w:val="0"/>
          <w:spacing w:val="-4"/>
          <w:sz w:val="32"/>
          <w:szCs w:val="32"/>
        </w:rPr>
        <w:br/>
        <w:t>6.资金分配合理性：本项目资金分配依据充分，资金分配额度合理，与项目地方实际相适应。根据评分标准，该指标5分，得5分。</w:t>
      </w:r>
      <w:r>
        <w:rPr>
          <w:rStyle w:val="ad"/>
          <w:rFonts w:ascii="楷体" w:eastAsia="楷体" w:hAnsi="楷体" w:hint="eastAsia"/>
          <w:b w:val="0"/>
          <w:bCs w:val="0"/>
          <w:spacing w:val="-4"/>
          <w:sz w:val="32"/>
          <w:szCs w:val="32"/>
        </w:rPr>
        <w:tab/>
      </w:r>
    </w:p>
    <w:p w14:paraId="33700767" w14:textId="77777777" w:rsidR="0012073C" w:rsidRDefault="009A0637">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6BD8C75E"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项目过程情况</w:t>
      </w:r>
      <w:r>
        <w:rPr>
          <w:rStyle w:val="ad"/>
          <w:rFonts w:ascii="楷体" w:eastAsia="楷体" w:hAnsi="楷体" w:hint="eastAsia"/>
          <w:b w:val="0"/>
          <w:bCs w:val="0"/>
          <w:spacing w:val="-4"/>
          <w:sz w:val="32"/>
          <w:szCs w:val="32"/>
        </w:rPr>
        <w:br/>
        <w:t>项目过程类指标包括资金管理和组织实施两方面的内容，由 5个三级指标构成，权重分值为 20 分，本项目实际得分20分，得分率为100.0%。具体各项指标得分如下：</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1.资金到位率：该项目所需财政资金能够足额拨付到位，根据评分标准，该指标5分，得5分。</w:t>
      </w:r>
      <w:r>
        <w:rPr>
          <w:rStyle w:val="ad"/>
          <w:rFonts w:ascii="楷体" w:eastAsia="楷体" w:hAnsi="楷体" w:hint="eastAsia"/>
          <w:b w:val="0"/>
          <w:bCs w:val="0"/>
          <w:spacing w:val="-4"/>
          <w:sz w:val="32"/>
          <w:szCs w:val="32"/>
        </w:rPr>
        <w:br/>
        <w:t>2.预算执行率：本项目预算较为详细，预算资金511万元，实际执行339万元，预算执行率为66%，项目资金支出总体能够按照预算执行，根据评分标准，该指标5分，得3分。</w:t>
      </w:r>
      <w:r>
        <w:rPr>
          <w:rStyle w:val="ad"/>
          <w:rFonts w:ascii="楷体" w:eastAsia="楷体" w:hAnsi="楷体" w:hint="eastAsia"/>
          <w:b w:val="0"/>
          <w:bCs w:val="0"/>
          <w:spacing w:val="-4"/>
          <w:sz w:val="32"/>
          <w:szCs w:val="32"/>
        </w:rPr>
        <w:br/>
        <w:t>3.资金使用合规性：项目任务下达后，我单位制定了《项目资金管理领导责任制》和《会计核算制》制度和管理规定对经费使用进行规范管理，财务制度健全、执行严格，根据评分标准，该指标5分，得5分。</w:t>
      </w:r>
      <w:r>
        <w:rPr>
          <w:rStyle w:val="ad"/>
          <w:rFonts w:ascii="楷体" w:eastAsia="楷体" w:hAnsi="楷体" w:hint="eastAsia"/>
          <w:b w:val="0"/>
          <w:bCs w:val="0"/>
          <w:spacing w:val="-4"/>
          <w:sz w:val="32"/>
          <w:szCs w:val="32"/>
        </w:rPr>
        <w:br/>
        <w:t>4.管理制度健全性：我单位制定了《财政资金使用跟踪反馈》等相关项目管理办法，同时对财政专项资金进行严格管理，基本做到了专款专用，根据评分标准，该指标2分，得2分。</w:t>
      </w:r>
      <w:r>
        <w:rPr>
          <w:rStyle w:val="ad"/>
          <w:rFonts w:ascii="楷体" w:eastAsia="楷体" w:hAnsi="楷体" w:hint="eastAsia"/>
          <w:b w:val="0"/>
          <w:bCs w:val="0"/>
          <w:spacing w:val="-4"/>
          <w:sz w:val="32"/>
          <w:szCs w:val="32"/>
        </w:rPr>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76654FE4"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27B6C9A7"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项目产出情况</w:t>
      </w:r>
      <w:r>
        <w:rPr>
          <w:rStyle w:val="ad"/>
          <w:rFonts w:ascii="楷体" w:eastAsia="楷体" w:hAnsi="楷体" w:hint="eastAsia"/>
          <w:b w:val="0"/>
          <w:bCs w:val="0"/>
          <w:spacing w:val="-4"/>
          <w:sz w:val="32"/>
          <w:szCs w:val="32"/>
        </w:rPr>
        <w:br/>
        <w:t>项目产出类指标包括产出数量、产出质量、产出时效、产出成本共四方面的内容，由7个三级指标构成，权重分为30分，本项目实际得分28分，得分率为93%。具体各项指标得分如下：</w:t>
      </w:r>
      <w:r>
        <w:rPr>
          <w:rStyle w:val="ad"/>
          <w:rFonts w:ascii="楷体" w:eastAsia="楷体" w:hAnsi="楷体" w:hint="eastAsia"/>
          <w:b w:val="0"/>
          <w:bCs w:val="0"/>
          <w:spacing w:val="-4"/>
          <w:sz w:val="32"/>
          <w:szCs w:val="32"/>
        </w:rPr>
        <w:br/>
        <w:t>1. 产出数量</w:t>
      </w:r>
      <w:r>
        <w:rPr>
          <w:rStyle w:val="ad"/>
          <w:rFonts w:ascii="楷体" w:eastAsia="楷体" w:hAnsi="楷体" w:hint="eastAsia"/>
          <w:b w:val="0"/>
          <w:bCs w:val="0"/>
          <w:spacing w:val="-4"/>
          <w:sz w:val="32"/>
          <w:szCs w:val="32"/>
        </w:rPr>
        <w:br/>
        <w:t>“年用电量”指标，预期指标值为“≤12775000千瓦时”，根据支付凭证可知，实际完成8475000千瓦时，与预期目标基本一致，根据评分标准，该指标2分，得1分。（预算数按统一标准进行</w:t>
      </w:r>
      <w:r>
        <w:rPr>
          <w:rStyle w:val="ad"/>
          <w:rFonts w:ascii="楷体" w:eastAsia="楷体" w:hAnsi="楷体" w:hint="eastAsia"/>
          <w:b w:val="0"/>
          <w:bCs w:val="0"/>
          <w:spacing w:val="-4"/>
          <w:sz w:val="32"/>
          <w:szCs w:val="32"/>
        </w:rPr>
        <w:lastRenderedPageBreak/>
        <w:t>计算，实际情况会因电器损坏和更换不同型号电器等因素导致用电量与实际不符）</w:t>
      </w:r>
      <w:r>
        <w:rPr>
          <w:rStyle w:val="ad"/>
          <w:rFonts w:ascii="楷体" w:eastAsia="楷体" w:hAnsi="楷体" w:hint="eastAsia"/>
          <w:b w:val="0"/>
          <w:bCs w:val="0"/>
          <w:spacing w:val="-4"/>
          <w:sz w:val="32"/>
          <w:szCs w:val="32"/>
        </w:rPr>
        <w:br/>
        <w:t>“路灯照明日平均运行时间”指标，预期指标值为“≤13小时”，根据工作资料可知，实际完成13小时，与预期目标一致，根据评分标准，该指标4分，得4分。</w:t>
      </w:r>
      <w:r>
        <w:rPr>
          <w:rStyle w:val="ad"/>
          <w:rFonts w:ascii="楷体" w:eastAsia="楷体" w:hAnsi="楷体" w:hint="eastAsia"/>
          <w:b w:val="0"/>
          <w:bCs w:val="0"/>
          <w:spacing w:val="-4"/>
          <w:sz w:val="32"/>
          <w:szCs w:val="32"/>
        </w:rPr>
        <w:br/>
        <w:t>2.产出质量</w:t>
      </w:r>
      <w:r>
        <w:rPr>
          <w:rStyle w:val="ad"/>
          <w:rFonts w:ascii="楷体" w:eastAsia="楷体" w:hAnsi="楷体" w:hint="eastAsia"/>
          <w:b w:val="0"/>
          <w:bCs w:val="0"/>
          <w:spacing w:val="-4"/>
          <w:sz w:val="32"/>
          <w:szCs w:val="32"/>
        </w:rPr>
        <w:br/>
        <w:t>“供电可靠率”指标，预期指标值为“≥95%”，根据工作资料可知，实际完成95%，与预期目标一致，根据评分标准，该指标4分，得4分。</w:t>
      </w:r>
      <w:r>
        <w:rPr>
          <w:rStyle w:val="ad"/>
          <w:rFonts w:ascii="楷体" w:eastAsia="楷体" w:hAnsi="楷体" w:hint="eastAsia"/>
          <w:b w:val="0"/>
          <w:bCs w:val="0"/>
          <w:spacing w:val="-4"/>
          <w:sz w:val="32"/>
          <w:szCs w:val="32"/>
        </w:rPr>
        <w:br/>
        <w:t>“公用设施路灯亮化率”指标，预期指标值为“≥95%”，根据工作资料可知，实际完成95%，与预期目标一致，根据评分标准，该指标4分，得4分。</w:t>
      </w:r>
      <w:r>
        <w:rPr>
          <w:rStyle w:val="ad"/>
          <w:rFonts w:ascii="楷体" w:eastAsia="楷体" w:hAnsi="楷体" w:hint="eastAsia"/>
          <w:b w:val="0"/>
          <w:bCs w:val="0"/>
          <w:spacing w:val="-4"/>
          <w:sz w:val="32"/>
          <w:szCs w:val="32"/>
        </w:rPr>
        <w:br/>
        <w:t>3.产出时效</w:t>
      </w:r>
      <w:r>
        <w:rPr>
          <w:rStyle w:val="ad"/>
          <w:rFonts w:ascii="楷体" w:eastAsia="楷体" w:hAnsi="楷体" w:hint="eastAsia"/>
          <w:b w:val="0"/>
          <w:bCs w:val="0"/>
          <w:spacing w:val="-4"/>
          <w:sz w:val="32"/>
          <w:szCs w:val="32"/>
        </w:rPr>
        <w:br/>
        <w:t>“路灯电费支付完成时限”指标，预期指标值为“2022/12/31”，根据工作资料可知，实际完成为2022/12/31，与预期目标一致，根据评分标准，该指标4分，得4分。</w:t>
      </w:r>
      <w:r>
        <w:rPr>
          <w:rStyle w:val="ad"/>
          <w:rFonts w:ascii="楷体" w:eastAsia="楷体" w:hAnsi="楷体" w:hint="eastAsia"/>
          <w:b w:val="0"/>
          <w:bCs w:val="0"/>
          <w:spacing w:val="-4"/>
          <w:sz w:val="32"/>
          <w:szCs w:val="32"/>
        </w:rPr>
        <w:br/>
        <w:t>“路灯电费支付及时率”指标，预期指标值为“≥95%”，根据工作资料可知，实际完成为95%，与预期目标一致，根据评分标准，该指标4分，得4分。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4.产出成本</w:t>
      </w:r>
      <w:r>
        <w:rPr>
          <w:rStyle w:val="ad"/>
          <w:rFonts w:ascii="楷体" w:eastAsia="楷体" w:hAnsi="楷体" w:hint="eastAsia"/>
          <w:b w:val="0"/>
          <w:bCs w:val="0"/>
          <w:spacing w:val="-4"/>
          <w:sz w:val="32"/>
          <w:szCs w:val="32"/>
        </w:rPr>
        <w:br/>
        <w:t>“公用设施用电费”指标，预期指标值为“≤511万元”，根据支付凭证可知，实际完成339，与预期目标基本一致，根据评分标准，该指标4分，得2分。（预算数按统一标准进行计算，实际情况会因电器损坏和更换不同型号电器等因素导致用电量与</w:t>
      </w:r>
      <w:r>
        <w:rPr>
          <w:rStyle w:val="ad"/>
          <w:rFonts w:ascii="楷体" w:eastAsia="楷体" w:hAnsi="楷体" w:hint="eastAsia"/>
          <w:b w:val="0"/>
          <w:bCs w:val="0"/>
          <w:spacing w:val="-4"/>
          <w:sz w:val="32"/>
          <w:szCs w:val="32"/>
        </w:rPr>
        <w:lastRenderedPageBreak/>
        <w:t>实际不符）</w:t>
      </w:r>
    </w:p>
    <w:p w14:paraId="2A62CDD5"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2B7F26C4" w14:textId="26F91865"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项目效益情况</w:t>
      </w:r>
      <w:r>
        <w:rPr>
          <w:rStyle w:val="ad"/>
          <w:rFonts w:ascii="楷体" w:eastAsia="楷体" w:hAnsi="楷体" w:hint="eastAsia"/>
          <w:b w:val="0"/>
          <w:bCs w:val="0"/>
          <w:spacing w:val="-4"/>
          <w:sz w:val="32"/>
          <w:szCs w:val="32"/>
        </w:rPr>
        <w:br/>
        <w:t>项目效益类指标由2个二级指标和2个三级指标构成，权重分为30分，本项目实际得分30分，得分率为100.0%。具体各项指标得分如下：</w:t>
      </w:r>
      <w:r>
        <w:rPr>
          <w:rStyle w:val="ad"/>
          <w:rFonts w:ascii="楷体" w:eastAsia="楷体" w:hAnsi="楷体" w:hint="eastAsia"/>
          <w:b w:val="0"/>
          <w:bCs w:val="0"/>
          <w:spacing w:val="-4"/>
          <w:sz w:val="32"/>
          <w:szCs w:val="32"/>
        </w:rPr>
        <w:br/>
        <w:t>1.实施效益指标</w:t>
      </w:r>
      <w:r>
        <w:rPr>
          <w:rStyle w:val="ad"/>
          <w:rFonts w:ascii="楷体" w:eastAsia="楷体" w:hAnsi="楷体" w:hint="eastAsia"/>
          <w:b w:val="0"/>
          <w:bCs w:val="0"/>
          <w:spacing w:val="-4"/>
          <w:sz w:val="32"/>
          <w:szCs w:val="32"/>
        </w:rPr>
        <w:br/>
        <w:t>（1）社会效益指标</w:t>
      </w:r>
      <w:r>
        <w:rPr>
          <w:rStyle w:val="ad"/>
          <w:rFonts w:ascii="楷体" w:eastAsia="楷体" w:hAnsi="楷体" w:hint="eastAsia"/>
          <w:b w:val="0"/>
          <w:bCs w:val="0"/>
          <w:spacing w:val="-4"/>
          <w:sz w:val="32"/>
          <w:szCs w:val="32"/>
        </w:rPr>
        <w:br/>
        <w:t>“方便居民出行，保障夜间交通安全”指标，预期指标值为“有所保障”，根据调研分析报告可知，实际完成值为“有效保障”，根据评分标准，该指标7分，得7分。</w:t>
      </w:r>
      <w:r>
        <w:rPr>
          <w:rStyle w:val="ad"/>
          <w:rFonts w:ascii="楷体" w:eastAsia="楷体" w:hAnsi="楷体" w:hint="eastAsia"/>
          <w:b w:val="0"/>
          <w:bCs w:val="0"/>
          <w:spacing w:val="-4"/>
          <w:sz w:val="32"/>
          <w:szCs w:val="32"/>
        </w:rPr>
        <w:br/>
        <w:t>“重大节日公用设施照明正常运转率”指标，预期指标值为“≥95%”，根据调研分析报告可知，实际完成值为“95%”，根据评分标准，该指标7分，得7分。</w:t>
      </w:r>
      <w:r>
        <w:rPr>
          <w:rStyle w:val="ad"/>
          <w:rFonts w:ascii="楷体" w:eastAsia="楷体" w:hAnsi="楷体" w:hint="eastAsia"/>
          <w:b w:val="0"/>
          <w:bCs w:val="0"/>
          <w:spacing w:val="-4"/>
          <w:sz w:val="32"/>
          <w:szCs w:val="32"/>
        </w:rPr>
        <w:br/>
        <w:t>综上所述，社会效益指标合计得14分。</w:t>
      </w:r>
      <w:r>
        <w:rPr>
          <w:rStyle w:val="ad"/>
          <w:rFonts w:ascii="楷体" w:eastAsia="楷体" w:hAnsi="楷体" w:hint="eastAsia"/>
          <w:b w:val="0"/>
          <w:bCs w:val="0"/>
          <w:spacing w:val="-4"/>
          <w:sz w:val="32"/>
          <w:szCs w:val="32"/>
        </w:rPr>
        <w:br/>
        <w:t>（2）可持续影响指标</w:t>
      </w:r>
      <w:r>
        <w:rPr>
          <w:rStyle w:val="ad"/>
          <w:rFonts w:ascii="楷体" w:eastAsia="楷体" w:hAnsi="楷体" w:hint="eastAsia"/>
          <w:b w:val="0"/>
          <w:bCs w:val="0"/>
          <w:spacing w:val="-4"/>
          <w:sz w:val="32"/>
          <w:szCs w:val="32"/>
        </w:rPr>
        <w:br/>
        <w:t>“提升城市夜景亮化水平”指标，预期指标值为“长期”，根据人口监测分析报告可知，实际完成值为“长期”，根据评分标准，该指标6分，得6分。</w:t>
      </w:r>
      <w:r>
        <w:rPr>
          <w:rStyle w:val="ad"/>
          <w:rFonts w:ascii="楷体" w:eastAsia="楷体" w:hAnsi="楷体" w:hint="eastAsia"/>
          <w:b w:val="0"/>
          <w:bCs w:val="0"/>
          <w:spacing w:val="-4"/>
          <w:sz w:val="32"/>
          <w:szCs w:val="32"/>
        </w:rPr>
        <w:br/>
        <w:t>（3）经济效益指标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（4）生态效益指标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2.满意度指标</w:t>
      </w:r>
      <w:r>
        <w:rPr>
          <w:rStyle w:val="ad"/>
          <w:rFonts w:ascii="楷体" w:eastAsia="楷体" w:hAnsi="楷体" w:hint="eastAsia"/>
          <w:b w:val="0"/>
          <w:bCs w:val="0"/>
          <w:spacing w:val="-4"/>
          <w:sz w:val="32"/>
          <w:szCs w:val="32"/>
        </w:rPr>
        <w:br/>
        <w:t>“受益群体满意度”指标，预期指标值为“≥95%”，收益对象满</w:t>
      </w:r>
      <w:r>
        <w:rPr>
          <w:rStyle w:val="ad"/>
          <w:rFonts w:ascii="楷体" w:eastAsia="楷体" w:hAnsi="楷体" w:hint="eastAsia"/>
          <w:b w:val="0"/>
          <w:bCs w:val="0"/>
          <w:spacing w:val="-4"/>
          <w:sz w:val="32"/>
          <w:szCs w:val="32"/>
        </w:rPr>
        <w:lastRenderedPageBreak/>
        <w:t>意度达95%，根据评分标准，该指标10分,得10分。</w:t>
      </w:r>
    </w:p>
    <w:p w14:paraId="47FF047F" w14:textId="77777777" w:rsidR="0012073C" w:rsidRDefault="0012073C">
      <w:pPr>
        <w:spacing w:line="540" w:lineRule="exact"/>
        <w:ind w:firstLine="567"/>
        <w:rPr>
          <w:rStyle w:val="ad"/>
          <w:rFonts w:ascii="楷体" w:eastAsia="楷体" w:hAnsi="楷体"/>
          <w:spacing w:val="-4"/>
          <w:sz w:val="32"/>
          <w:szCs w:val="32"/>
        </w:rPr>
      </w:pPr>
    </w:p>
    <w:p w14:paraId="1D5C4711"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w:t>
      </w:r>
      <w:r w:rsidR="009A0637">
        <w:rPr>
          <w:rStyle w:val="ad"/>
          <w:rFonts w:ascii="黑体" w:eastAsia="黑体" w:hAnsi="黑体" w:hint="eastAsia"/>
          <w:b w:val="0"/>
          <w:spacing w:val="-4"/>
          <w:sz w:val="32"/>
          <w:szCs w:val="32"/>
        </w:rPr>
        <w:t>、主要经验及做法、存在的问题及原因分析</w:t>
      </w:r>
    </w:p>
    <w:p w14:paraId="781F233A" w14:textId="77777777" w:rsidR="0012073C" w:rsidRDefault="009A0637">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主要经验及做法</w:t>
      </w:r>
      <w:r>
        <w:rPr>
          <w:rStyle w:val="ad"/>
          <w:rFonts w:ascii="楷体" w:eastAsia="楷体" w:hAnsi="楷体" w:hint="eastAsia"/>
          <w:b w:val="0"/>
          <w:bCs w:val="0"/>
          <w:spacing w:val="-4"/>
          <w:sz w:val="32"/>
          <w:szCs w:val="32"/>
        </w:rPr>
        <w:br/>
        <w:t>1.聚焦重点任务，推动项目工作落地落实</w:t>
      </w:r>
      <w:r>
        <w:rPr>
          <w:rStyle w:val="ad"/>
          <w:rFonts w:ascii="楷体" w:eastAsia="楷体" w:hAnsi="楷体" w:hint="eastAsia"/>
          <w:b w:val="0"/>
          <w:bCs w:val="0"/>
          <w:spacing w:val="-4"/>
          <w:sz w:val="32"/>
          <w:szCs w:val="32"/>
        </w:rPr>
        <w:br/>
        <w:t>为有效推进项目工作开展，提高财政资金使用效益，项目领导小组进一步强化项目意识，县财政局建立了奖励扶助专户，建立健全奖励扶助经费管理制度，督促实施单位严格实行“三专”管理，即设专户、建专帐、定专人，明确责任和时间节点，一项一项抓好具体落实，确保了项目按时保质完成，保障了项目效益发挥。</w:t>
      </w:r>
      <w:r>
        <w:rPr>
          <w:rStyle w:val="ad"/>
          <w:rFonts w:ascii="楷体" w:eastAsia="楷体" w:hAnsi="楷体" w:hint="eastAsia"/>
          <w:b w:val="0"/>
          <w:bCs w:val="0"/>
          <w:spacing w:val="-4"/>
          <w:sz w:val="32"/>
          <w:szCs w:val="32"/>
        </w:rPr>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ad"/>
          <w:rFonts w:ascii="楷体" w:eastAsia="楷体" w:hAnsi="楷体" w:hint="eastAsia"/>
          <w:b w:val="0"/>
          <w:bCs w:val="0"/>
          <w:spacing w:val="-4"/>
          <w:sz w:val="32"/>
          <w:szCs w:val="32"/>
        </w:rPr>
        <w:br/>
        <w:t>（二）存在问题及原因分析</w:t>
      </w:r>
      <w:r>
        <w:rPr>
          <w:rStyle w:val="ad"/>
          <w:rFonts w:ascii="楷体" w:eastAsia="楷体" w:hAnsi="楷体" w:hint="eastAsia"/>
          <w:b w:val="0"/>
          <w:bCs w:val="0"/>
          <w:spacing w:val="-4"/>
          <w:sz w:val="32"/>
          <w:szCs w:val="32"/>
        </w:rPr>
        <w:br/>
        <w:t>绩效档案归档工作有待提高</w:t>
      </w:r>
      <w:r>
        <w:rPr>
          <w:rStyle w:val="ad"/>
          <w:rFonts w:ascii="楷体" w:eastAsia="楷体" w:hAnsi="楷体" w:hint="eastAsia"/>
          <w:b w:val="0"/>
          <w:bCs w:val="0"/>
          <w:spacing w:val="-4"/>
          <w:sz w:val="32"/>
          <w:szCs w:val="32"/>
        </w:rPr>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14:paraId="5D974FEB"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sidR="009A0637">
        <w:rPr>
          <w:rStyle w:val="ad"/>
          <w:rFonts w:ascii="黑体" w:eastAsia="黑体" w:hAnsi="黑体" w:hint="eastAsia"/>
          <w:b w:val="0"/>
          <w:spacing w:val="-4"/>
          <w:sz w:val="32"/>
          <w:szCs w:val="32"/>
        </w:rPr>
        <w:t>、有关建议</w:t>
      </w:r>
    </w:p>
    <w:p w14:paraId="10E1E149"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加强培训，提高相关人员工作水平</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采取多种培训形式对单位财务人员、业务科室人员进行集中培训，进一步树牢绩效观念，提高本单位工作人员的绩效管理能力和工作水平，为预算绩效管理相关工作的顺利开展提供保障。</w:t>
      </w:r>
    </w:p>
    <w:p w14:paraId="448C6B1C"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sidR="009A0637">
        <w:rPr>
          <w:rStyle w:val="ad"/>
          <w:rFonts w:ascii="黑体" w:eastAsia="黑体" w:hAnsi="黑体" w:hint="eastAsia"/>
          <w:b w:val="0"/>
          <w:spacing w:val="-4"/>
          <w:sz w:val="32"/>
          <w:szCs w:val="32"/>
        </w:rPr>
        <w:t>、其他需要说明的问题</w:t>
      </w:r>
    </w:p>
    <w:p w14:paraId="59F5F6D9"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无</w:t>
      </w:r>
    </w:p>
    <w:p w14:paraId="4C0BCF54" w14:textId="77777777" w:rsidR="0012073C" w:rsidRDefault="0012073C">
      <w:pPr>
        <w:spacing w:line="540" w:lineRule="exact"/>
        <w:ind w:firstLine="567"/>
        <w:rPr>
          <w:rStyle w:val="ad"/>
          <w:rFonts w:ascii="仿宋" w:eastAsia="仿宋" w:hAnsi="仿宋"/>
          <w:b w:val="0"/>
          <w:spacing w:val="-4"/>
          <w:sz w:val="32"/>
          <w:szCs w:val="32"/>
        </w:rPr>
      </w:pPr>
    </w:p>
    <w:p w14:paraId="7C1DA3F3" w14:textId="77777777" w:rsidR="0012073C" w:rsidRDefault="0012073C">
      <w:pPr>
        <w:spacing w:line="540" w:lineRule="exact"/>
        <w:ind w:firstLine="567"/>
        <w:rPr>
          <w:rStyle w:val="ad"/>
          <w:rFonts w:ascii="仿宋" w:eastAsia="仿宋" w:hAnsi="仿宋"/>
          <w:b w:val="0"/>
          <w:spacing w:val="-4"/>
          <w:sz w:val="32"/>
          <w:szCs w:val="32"/>
        </w:rPr>
      </w:pPr>
    </w:p>
    <w:p w14:paraId="1827AAB3" w14:textId="77777777" w:rsidR="0012073C" w:rsidRDefault="0012073C">
      <w:pPr>
        <w:spacing w:line="540" w:lineRule="exact"/>
        <w:ind w:firstLine="567"/>
        <w:rPr>
          <w:rStyle w:val="ad"/>
          <w:rFonts w:ascii="仿宋" w:eastAsia="仿宋" w:hAnsi="仿宋"/>
          <w:b w:val="0"/>
          <w:spacing w:val="-4"/>
          <w:sz w:val="32"/>
          <w:szCs w:val="32"/>
        </w:rPr>
      </w:pPr>
    </w:p>
    <w:p w14:paraId="44CC4D99" w14:textId="77777777" w:rsidR="0012073C" w:rsidRDefault="0012073C">
      <w:pPr>
        <w:spacing w:line="540" w:lineRule="exact"/>
        <w:ind w:firstLine="567"/>
        <w:rPr>
          <w:rStyle w:val="ad"/>
          <w:rFonts w:ascii="仿宋" w:eastAsia="仿宋" w:hAnsi="仿宋"/>
          <w:b w:val="0"/>
          <w:spacing w:val="-4"/>
          <w:sz w:val="32"/>
          <w:szCs w:val="32"/>
        </w:rPr>
      </w:pPr>
    </w:p>
    <w:p w14:paraId="6CC9C5BD" w14:textId="77777777" w:rsidR="0012073C" w:rsidRDefault="0012073C">
      <w:pPr>
        <w:spacing w:line="540" w:lineRule="exact"/>
        <w:ind w:firstLine="567"/>
        <w:rPr>
          <w:rStyle w:val="ad"/>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4A299" w14:textId="77777777" w:rsidR="00DC5E42" w:rsidRDefault="00DC5E42">
      <w:r>
        <w:separator/>
      </w:r>
    </w:p>
  </w:endnote>
  <w:endnote w:type="continuationSeparator" w:id="0">
    <w:p w14:paraId="35FFDD17" w14:textId="77777777" w:rsidR="00DC5E42" w:rsidRDefault="00DC5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758ACC16" w14:textId="77777777" w:rsidR="0012073C" w:rsidRDefault="009A0637">
        <w:pPr>
          <w:pStyle w:val="a5"/>
          <w:jc w:val="center"/>
        </w:pPr>
        <w:r>
          <w:fldChar w:fldCharType="begin"/>
        </w:r>
        <w:r>
          <w:instrText>PAGE   \* MERGEFORMAT</w:instrText>
        </w:r>
        <w:r>
          <w:fldChar w:fldCharType="separate"/>
        </w:r>
        <w:r w:rsidR="00151FA7" w:rsidRPr="00151FA7">
          <w:rPr>
            <w:noProof/>
            <w:lang w:val="zh-CN"/>
          </w:rPr>
          <w:t>2</w:t>
        </w:r>
        <w:r>
          <w:fldChar w:fldCharType="end"/>
        </w:r>
      </w:p>
    </w:sdtContent>
  </w:sdt>
  <w:p w14:paraId="68C4505D" w14:textId="77777777" w:rsidR="0012073C" w:rsidRDefault="001207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2325E" w14:textId="77777777" w:rsidR="00DC5E42" w:rsidRDefault="00DC5E42">
      <w:r>
        <w:separator/>
      </w:r>
    </w:p>
  </w:footnote>
  <w:footnote w:type="continuationSeparator" w:id="0">
    <w:p w14:paraId="3A33A82D" w14:textId="77777777" w:rsidR="00DC5E42" w:rsidRDefault="00DC5E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102DFF"/>
    <w:rsid w:val="0012073C"/>
    <w:rsid w:val="00121AE4"/>
    <w:rsid w:val="00146AAD"/>
    <w:rsid w:val="00151FA7"/>
    <w:rsid w:val="001B3A40"/>
    <w:rsid w:val="00233EBC"/>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C5E42"/>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A4661"/>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1096</Words>
  <Characters>6249</Characters>
  <Application>Microsoft Office Word</Application>
  <DocSecurity>0</DocSecurity>
  <Lines>52</Lines>
  <Paragraphs>14</Paragraphs>
  <ScaleCrop>false</ScaleCrop>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22</cp:revision>
  <cp:lastPrinted>2018-12-31T10:56:00Z</cp:lastPrinted>
  <dcterms:created xsi:type="dcterms:W3CDTF">2018-08-15T02:06:00Z</dcterms:created>
  <dcterms:modified xsi:type="dcterms:W3CDTF">2023-11-16T07:49:00Z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